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jc w:val="center"/>
        <w:rPr/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1138145" cy="871553"/>
            <wp:effectExtent b="0" l="0" r="0" t="0"/>
            <wp:docPr id="4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145" cy="871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2078990" cy="944880"/>
            <wp:effectExtent b="0" l="0" r="0" t="0"/>
            <wp:docPr id="4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944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b w:val="1"/>
          <w:bCs w:val="1"/>
        </w:rPr>
      </w:pPr>
      <w:bookmarkStart w:colFirst="0" w:colLast="0" w:name="_heading=h.eqo7ht7lbmgg" w:id="0"/>
      <w:bookmarkEnd w:id="0"/>
      <w:r w:rsidDel="00000000" w:rsidR="00000000" w:rsidRPr="00000000">
        <w:rPr>
          <w:b w:val="1"/>
          <w:bCs w:val="1"/>
          <w:rtl w:val="0"/>
        </w:rPr>
        <w:t xml:space="preserve">Регламент</w:t>
        <w:br w:type="textWrapping"/>
        <w:t xml:space="preserve">Тюркская Юношеская Шахматная Олимпиада до 16 лет </w:t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b w:val="1"/>
          <w:bCs w:val="1"/>
        </w:rPr>
      </w:pPr>
      <w:bookmarkStart w:colFirst="0" w:colLast="0" w:name="_heading=h.8duvjffltu7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120" w:line="240" w:lineRule="auto"/>
        <w:ind w:left="0" w:firstLine="708"/>
        <w:rPr/>
      </w:pPr>
      <w:r w:rsidDel="00000000" w:rsidR="00000000" w:rsidRPr="00000000">
        <w:rPr>
          <w:rtl w:val="0"/>
        </w:rPr>
        <w:t xml:space="preserve">Казахстанская федерация шахмат от имени Тюркской ассоциации шахмат имеет честь пригласить членов ассоциации принять участие в </w:t>
      </w:r>
      <w:r w:rsidDel="00000000" w:rsidR="00000000" w:rsidRPr="00000000">
        <w:rPr>
          <w:b w:val="1"/>
          <w:bCs w:val="1"/>
          <w:rtl w:val="0"/>
        </w:rPr>
        <w:t xml:space="preserve">Тюркской Юношеской Шахматной Олимпиаде до 16 лет</w:t>
      </w:r>
      <w:r w:rsidDel="00000000" w:rsidR="00000000" w:rsidRPr="00000000">
        <w:rPr>
          <w:rtl w:val="0"/>
        </w:rPr>
        <w:t xml:space="preserve"> 2026 года </w:t>
      </w:r>
      <w:r w:rsidDel="00000000" w:rsidR="00000000" w:rsidRPr="00000000">
        <w:rPr>
          <w:b w:val="1"/>
          <w:bCs w:val="1"/>
          <w:rtl w:val="0"/>
        </w:rPr>
        <w:t xml:space="preserve">(далее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1"/>
          <w:bCs w:val="1"/>
          <w:color w:val="20202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Т</w:t>
      </w:r>
      <w:r w:rsidDel="00000000" w:rsidR="00000000" w:rsidRPr="00000000">
        <w:rPr>
          <w:b w:val="1"/>
          <w:bCs w:val="1"/>
          <w:rtl w:val="0"/>
        </w:rPr>
        <w:t xml:space="preserve">урнир)</w:t>
      </w:r>
      <w:r w:rsidDel="00000000" w:rsidR="00000000" w:rsidRPr="00000000">
        <w:rPr>
          <w:rtl w:val="0"/>
        </w:rPr>
        <w:t xml:space="preserve">, который пройдет с 13 по 18 мая 2026 года в г. Туркестан, Казахстан.</w:t>
      </w:r>
    </w:p>
    <w:p w:rsidR="00000000" w:rsidDel="00000000" w:rsidP="00000000" w:rsidRDefault="00000000" w:rsidRPr="00000000" w14:paraId="00000006">
      <w:pPr>
        <w:spacing w:after="0" w:line="259" w:lineRule="auto"/>
        <w:ind w:left="0" w:firstLine="0"/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ind w:left="0" w:right="4679.17322834645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 Участники и прием заявок. 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1.1.</w:t>
      </w:r>
      <w:r w:rsidDel="00000000" w:rsidR="00000000" w:rsidRPr="00000000">
        <w:rPr>
          <w:rtl w:val="0"/>
        </w:rPr>
        <w:t xml:space="preserve"> К участию допускаются ниже следующие страны: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1. Азербайджан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2. Казахстан 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3. Кыргызская Республика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4. Туркменистан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5. Турция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6. Узбекистан</w:t>
      </w:r>
    </w:p>
    <w:p w:rsidR="00000000" w:rsidDel="00000000" w:rsidP="00000000" w:rsidRDefault="00000000" w:rsidRPr="00000000" w14:paraId="0000000F">
      <w:pPr>
        <w:spacing w:before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По приглашению организаторов допускается участие дополнительной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1.3.</w:t>
      </w:r>
      <w:r w:rsidDel="00000000" w:rsidR="00000000" w:rsidRPr="00000000">
        <w:rPr>
          <w:rtl w:val="0"/>
        </w:rPr>
        <w:t xml:space="preserve"> Каждая страна имеет право заявить по 1 команде в каждом турнире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1.4</w:t>
      </w:r>
      <w:r w:rsidDel="00000000" w:rsidR="00000000" w:rsidRPr="00000000">
        <w:rPr>
          <w:rtl w:val="0"/>
        </w:rPr>
        <w:t xml:space="preserve">. Принимающая страна имеет право заявить для участия в турнирах до двух команд.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1.5. </w:t>
      </w:r>
      <w:r w:rsidDel="00000000" w:rsidR="00000000" w:rsidRPr="00000000">
        <w:rPr>
          <w:rtl w:val="0"/>
        </w:rPr>
        <w:t xml:space="preserve">Заявки на участие в турнирах принимаются по следующей ссылке: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https://forms.gle/UMCG3X42EuFp3xja8</w:t>
        </w:r>
      </w:hyperlink>
      <w:r w:rsidDel="00000000" w:rsidR="00000000" w:rsidRPr="00000000">
        <w:rPr>
          <w:rtl w:val="0"/>
        </w:rPr>
        <w:t xml:space="preserve"> до 01 апреля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2026 года;</w:t>
      </w:r>
    </w:p>
    <w:p w:rsidR="00000000" w:rsidDel="00000000" w:rsidP="00000000" w:rsidRDefault="00000000" w:rsidRPr="00000000" w14:paraId="00000013">
      <w:pPr>
        <w:spacing w:after="18" w:line="259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1.6. </w:t>
      </w:r>
      <w:r w:rsidDel="00000000" w:rsidR="00000000" w:rsidRPr="00000000">
        <w:rPr>
          <w:rtl w:val="0"/>
        </w:rPr>
        <w:t xml:space="preserve">Команда (либо ее представитель) несет ответственность за достоверность и правильность предоставленных сведений.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left="0" w:hanging="1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Даты и место проведения: </w:t>
      </w:r>
    </w:p>
    <w:p w:rsidR="00000000" w:rsidDel="00000000" w:rsidP="00000000" w:rsidRDefault="00000000" w:rsidRPr="00000000" w14:paraId="00000016">
      <w:pPr>
        <w:ind w:left="0" w:hanging="15"/>
        <w:rPr/>
      </w:pPr>
      <w:r w:rsidDel="00000000" w:rsidR="00000000" w:rsidRPr="00000000">
        <w:rPr>
          <w:b w:val="1"/>
          <w:bCs w:val="1"/>
          <w:rtl w:val="0"/>
        </w:rPr>
        <w:t xml:space="preserve">Даты: </w:t>
      </w:r>
      <w:r w:rsidDel="00000000" w:rsidR="00000000" w:rsidRPr="00000000">
        <w:rPr>
          <w:rtl w:val="0"/>
        </w:rPr>
        <w:t xml:space="preserve">13 мая (день приезда) – 18 мая (день отъезда) 2026 г;</w:t>
      </w:r>
    </w:p>
    <w:p w:rsidR="00000000" w:rsidDel="00000000" w:rsidP="00000000" w:rsidRDefault="00000000" w:rsidRPr="00000000" w14:paraId="00000017">
      <w:pPr>
        <w:ind w:left="0" w:hanging="1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Место проведения</w:t>
      </w:r>
      <w:r w:rsidDel="00000000" w:rsidR="00000000" w:rsidRPr="00000000">
        <w:rPr>
          <w:rtl w:val="0"/>
        </w:rPr>
        <w:t xml:space="preserve">: по назначению, Туркестан, Казахстан.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8" w:line="259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Участники. </w:t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3.1.</w:t>
      </w:r>
      <w:r w:rsidDel="00000000" w:rsidR="00000000" w:rsidRPr="00000000">
        <w:rPr>
          <w:rtl w:val="0"/>
        </w:rPr>
        <w:t xml:space="preserve"> Состав команды 5 человек: 4 игрока (не менее 1 девушки) и 1 капитан.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3.2.</w:t>
      </w:r>
      <w:r w:rsidDel="00000000" w:rsidR="00000000" w:rsidRPr="00000000">
        <w:rPr>
          <w:rtl w:val="0"/>
        </w:rPr>
        <w:t xml:space="preserve"> К участию допускаются участники, родившиеся в 2010 году и позже.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3.3.</w:t>
      </w:r>
      <w:r w:rsidDel="00000000" w:rsidR="00000000" w:rsidRPr="00000000">
        <w:rPr>
          <w:rtl w:val="0"/>
        </w:rPr>
        <w:t xml:space="preserve"> На 1-3 досках могут быть заявлены девушки вместо юношей, а 4-я доска закрепляется за девушками. Порядок расстановки игроков по доскам должен быть подтвержден капитаном команды на Техническом собрании (см. пункт 4), который не может быть изменён на протяжении всего турнира.</w:t>
      </w:r>
    </w:p>
    <w:p w:rsidR="00000000" w:rsidDel="00000000" w:rsidP="00000000" w:rsidRDefault="00000000" w:rsidRPr="00000000" w14:paraId="0000001D">
      <w:pPr>
        <w:ind w:left="0" w:firstLine="0"/>
        <w:rPr>
          <w:color w:val="741b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59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4.Формат проведения.</w:t>
      </w:r>
    </w:p>
    <w:p w:rsidR="00000000" w:rsidDel="00000000" w:rsidP="00000000" w:rsidRDefault="00000000" w:rsidRPr="00000000" w14:paraId="0000001F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4.1.</w:t>
      </w:r>
      <w:r w:rsidDel="00000000" w:rsidR="00000000" w:rsidRPr="00000000">
        <w:rPr>
          <w:rtl w:val="0"/>
        </w:rPr>
        <w:t xml:space="preserve"> Турнир проводятся по круговой системе в 7 туров. </w:t>
      </w:r>
    </w:p>
    <w:p w:rsidR="00000000" w:rsidDel="00000000" w:rsidP="00000000" w:rsidRDefault="00000000" w:rsidRPr="00000000" w14:paraId="00000020">
      <w:pPr>
        <w:spacing w:after="0" w:line="259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4.2.</w:t>
      </w:r>
      <w:r w:rsidDel="00000000" w:rsidR="00000000" w:rsidRPr="00000000">
        <w:rPr>
          <w:rtl w:val="0"/>
        </w:rPr>
        <w:t xml:space="preserve"> Контроль времени – </w:t>
      </w:r>
      <w:r w:rsidDel="00000000" w:rsidR="00000000" w:rsidRPr="00000000">
        <w:rPr>
          <w:b w:val="1"/>
          <w:bCs w:val="1"/>
          <w:rtl w:val="0"/>
        </w:rPr>
        <w:t xml:space="preserve">45 минут + 30 секунд на каждый ход, начиная с первого. </w:t>
      </w:r>
    </w:p>
    <w:p w:rsidR="00000000" w:rsidDel="00000000" w:rsidP="00000000" w:rsidRDefault="00000000" w:rsidRPr="00000000" w14:paraId="00000021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4.3. </w:t>
      </w:r>
      <w:r w:rsidDel="00000000" w:rsidR="00000000" w:rsidRPr="00000000">
        <w:rPr>
          <w:rtl w:val="0"/>
        </w:rPr>
        <w:t xml:space="preserve">Допустимое время опоздания на тур 15 минут. </w:t>
      </w:r>
    </w:p>
    <w:p w:rsidR="00000000" w:rsidDel="00000000" w:rsidP="00000000" w:rsidRDefault="00000000" w:rsidRPr="00000000" w14:paraId="00000022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4.4.</w:t>
      </w:r>
      <w:r w:rsidDel="00000000" w:rsidR="00000000" w:rsidRPr="00000000">
        <w:rPr>
          <w:rtl w:val="0"/>
        </w:rPr>
        <w:t xml:space="preserve"> Результат команды в каждом туре определяется суммой результатов на всех четырёх досках. За победу в туре команде присуждается 2 командных очка (match-points), за ничью – 1 очко, за поражение – 0 очков.</w:t>
      </w:r>
    </w:p>
    <w:p w:rsidR="00000000" w:rsidDel="00000000" w:rsidP="00000000" w:rsidRDefault="00000000" w:rsidRPr="00000000" w14:paraId="00000023">
      <w:pPr>
        <w:spacing w:after="18" w:line="259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8" w:line="259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Расписание.</w:t>
      </w:r>
    </w:p>
    <w:p w:rsidR="00000000" w:rsidDel="00000000" w:rsidP="00000000" w:rsidRDefault="00000000" w:rsidRPr="00000000" w14:paraId="00000025">
      <w:pPr>
        <w:spacing w:after="18" w:line="259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3450"/>
        <w:gridCol w:w="1905"/>
        <w:gridCol w:w="3345"/>
        <w:tblGridChange w:id="0">
          <w:tblGrid>
            <w:gridCol w:w="1350"/>
            <w:gridCol w:w="3450"/>
            <w:gridCol w:w="1905"/>
            <w:gridCol w:w="33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Время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Событие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Контроль времени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13.05.2026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spacing w:after="18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Заезд и размещение участников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18:00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Техническое собрание с представителями команд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14.05.2026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10:00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Церемония открытия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тур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45’ + 30”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тур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15.05.2026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тур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тур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16.05.2026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тур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тур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17.05.2026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тур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Торжественное закрытие турнира, награждение победителей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8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18.05.2026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9">
            <w:pPr>
              <w:spacing w:after="18" w:line="259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Отъезд участников</w:t>
            </w:r>
          </w:p>
        </w:tc>
      </w:tr>
    </w:tbl>
    <w:p w:rsidR="00000000" w:rsidDel="00000000" w:rsidP="00000000" w:rsidRDefault="00000000" w:rsidRPr="00000000" w14:paraId="0000005C">
      <w:pPr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6.Призы и призеры.</w:t>
      </w:r>
    </w:p>
    <w:p w:rsidR="00000000" w:rsidDel="00000000" w:rsidP="00000000" w:rsidRDefault="00000000" w:rsidRPr="00000000" w14:paraId="0000005E">
      <w:pPr>
        <w:ind w:left="0" w:firstLine="0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6.1. Гарантированный призовой фонд составляет 6,000,000 тенге ( </w:t>
      </w:r>
      <w:sdt>
        <w:sdtPr>
          <w:id w:val="991016728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≈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12,000 долларов США).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17.0" w:type="dxa"/>
        <w:jc w:val="left"/>
        <w:tblInd w:w="1236.0000000000002" w:type="dxa"/>
        <w:tblLayout w:type="fixed"/>
        <w:tblLook w:val="0400"/>
      </w:tblPr>
      <w:tblGrid>
        <w:gridCol w:w="1422.0000000000002"/>
        <w:gridCol w:w="2940"/>
        <w:gridCol w:w="3555"/>
        <w:tblGridChange w:id="0">
          <w:tblGrid>
            <w:gridCol w:w="1422.0000000000002"/>
            <w:gridCol w:w="2940"/>
            <w:gridCol w:w="3555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ind w:firstLine="0"/>
              <w:jc w:val="center"/>
              <w:rPr/>
            </w:pPr>
            <w:bookmarkStart w:colFirst="0" w:colLast="0" w:name="_heading=h.eqo7ht7lbmgg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Тюркская Юношеская Шахматная Олимпиада до 16 лет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 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2,500,000 KZT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jc w:val="left"/>
              <w:rPr/>
            </w:pPr>
            <w:sdt>
              <w:sdtPr>
                <w:id w:val="242008159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≈ 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5,000 USD 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 место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2,000,000 KZT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jc w:val="left"/>
              <w:rPr/>
            </w:pPr>
            <w:sdt>
              <w:sdtPr>
                <w:id w:val="303541331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≈</w:t>
                </w:r>
              </w:sdtContent>
            </w:sdt>
            <w:r w:rsidDel="00000000" w:rsidR="00000000" w:rsidRPr="00000000">
              <w:rPr>
                <w:rFonts w:ascii="Courier New" w:cs="Courier New" w:eastAsia="Courier New" w:hAnsi="Courier New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4,000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 место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1,500,000 KZT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jc w:val="left"/>
              <w:rPr/>
            </w:pPr>
            <w:sdt>
              <w:sdtPr>
                <w:id w:val="1168668856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≈</w:t>
                </w:r>
              </w:sdtContent>
            </w:sdt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3,000 USD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Призовой фонд турнира определяется и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фиксируется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тенге (KZT). Сумма в долларах США указана для справки по курсу Национального банка Республики Казахстан на момент подписания настоящего регламента.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6.2. </w:t>
      </w:r>
      <w:r w:rsidDel="00000000" w:rsidR="00000000" w:rsidRPr="00000000">
        <w:rPr>
          <w:rtl w:val="0"/>
        </w:rPr>
        <w:t xml:space="preserve">Команды, занявшие I, II и III места, награждаются кубками, медалями и дипломами.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6.3. </w:t>
      </w:r>
      <w:r w:rsidDel="00000000" w:rsidR="00000000" w:rsidRPr="00000000">
        <w:rPr>
          <w:rtl w:val="0"/>
        </w:rPr>
        <w:t xml:space="preserve">Места команд распределяются по количеству командных очков (match-points). При одинаковом количестве командных очков дополнительные показатели в порядке убывающего приоритета:</w:t>
      </w:r>
    </w:p>
    <w:p w:rsidR="00000000" w:rsidDel="00000000" w:rsidP="00000000" w:rsidRDefault="00000000" w:rsidRPr="00000000" w14:paraId="0000007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Наибольшее количество индивидуальных очков (game-points);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Результат личной встречи команд;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Командный коэффициент Зоннеборга–Бергера.</w:t>
      </w:r>
    </w:p>
    <w:p w:rsidR="00000000" w:rsidDel="00000000" w:rsidP="00000000" w:rsidRDefault="00000000" w:rsidRPr="00000000" w14:paraId="00000074">
      <w:pPr>
        <w:spacing w:after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6.4. Награждение за индивидуальные результаты.</w:t>
      </w:r>
    </w:p>
    <w:p w:rsidR="00000000" w:rsidDel="00000000" w:rsidP="00000000" w:rsidRDefault="00000000" w:rsidRPr="00000000" w14:paraId="00000075">
      <w:pPr>
        <w:spacing w:after="0" w:before="0" w:lineRule="auto"/>
        <w:ind w:left="0" w:firstLine="0"/>
        <w:rPr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6.4.1.</w:t>
      </w:r>
      <w:r w:rsidDel="00000000" w:rsidR="00000000" w:rsidRPr="00000000">
        <w:rPr>
          <w:rtl w:val="0"/>
        </w:rPr>
        <w:t xml:space="preserve"> По итогам турнира в индивидуальном зачёте по каждой доске будут определены победители, которые награждаются золотой, серебряной и бронзовой медалями, дипломами и ценными призами.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6.5. </w:t>
      </w:r>
      <w:r w:rsidDel="00000000" w:rsidR="00000000" w:rsidRPr="00000000">
        <w:rPr>
          <w:rtl w:val="0"/>
        </w:rPr>
        <w:t xml:space="preserve">Места в индивидуальном зачёте определяются по </w:t>
      </w:r>
      <w:r w:rsidDel="00000000" w:rsidR="00000000" w:rsidRPr="00000000">
        <w:rPr>
          <w:rtl w:val="0"/>
        </w:rPr>
        <w:t xml:space="preserve">наибольшему количеству набранных </w:t>
      </w:r>
      <w:r w:rsidDel="00000000" w:rsidR="00000000" w:rsidRPr="00000000">
        <w:rPr>
          <w:rtl w:val="0"/>
        </w:rPr>
        <w:t xml:space="preserve">очков. При равенстве очков применяются следующие дополнительные показатели в порядке убывающей значимости: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Результат личной встречи;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Средний рейтинг соперников;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Коэффициент Зоннеборга–Бергера.</w:t>
      </w:r>
    </w:p>
    <w:p w:rsidR="00000000" w:rsidDel="00000000" w:rsidP="00000000" w:rsidRDefault="00000000" w:rsidRPr="00000000" w14:paraId="0000007A">
      <w:pPr>
        <w:spacing w:after="0" w:lineRule="auto"/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ind w:left="0" w:firstLine="0"/>
        <w:rPr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6.5.</w:t>
      </w:r>
      <w:r w:rsidDel="00000000" w:rsidR="00000000" w:rsidRPr="00000000">
        <w:rPr>
          <w:rtl w:val="0"/>
        </w:rPr>
        <w:t xml:space="preserve"> Призовые выплаты осуществляются членам команды (родителю) и капитану команды персонально путем перечисления денежных средств на их банковские счета либо официальному представителю на основании нотариальной доверенности.  Распределение призового фонда между членами команды производится капитаном. Капитан информирует организаторов о распределении в течение 3 календарных дней после окончания турнира.</w:t>
      </w:r>
    </w:p>
    <w:p w:rsidR="00000000" w:rsidDel="00000000" w:rsidP="00000000" w:rsidRDefault="00000000" w:rsidRPr="00000000" w14:paraId="0000007C">
      <w:pPr>
        <w:ind w:left="0" w:firstLine="0"/>
        <w:rPr>
          <w:color w:val="00b0f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6.6.</w:t>
      </w:r>
      <w:r w:rsidDel="00000000" w:rsidR="00000000" w:rsidRPr="00000000">
        <w:rPr>
          <w:highlight w:val="white"/>
          <w:rtl w:val="0"/>
        </w:rPr>
        <w:t xml:space="preserve"> Со всех призов удерживаются налоги в соответствии с действующим законодательством Республики Казахстан. Крайний срок подачи документов для осуществления выплаты призовых составляет 7 (семь) календарных дней. Срок выплаты призовых - до 30 (тридцати) рабочих дней с момента получения всех необходимых надлежащим образом оформленных и подписанных документов.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Rule="auto"/>
        <w:ind w:left="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7. Прием участников.</w:t>
      </w:r>
    </w:p>
    <w:p w:rsidR="00000000" w:rsidDel="00000000" w:rsidP="00000000" w:rsidRDefault="00000000" w:rsidRPr="00000000" w14:paraId="0000007F">
      <w:pPr>
        <w:spacing w:after="0" w:lineRule="auto"/>
        <w:ind w:left="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7.1.</w:t>
      </w:r>
      <w:r w:rsidDel="00000000" w:rsidR="00000000" w:rsidRPr="00000000">
        <w:rPr>
          <w:highlight w:val="white"/>
          <w:rtl w:val="0"/>
        </w:rPr>
        <w:t xml:space="preserve"> Организатор обеспечивает каждой команде приём на период проведения Турнира.</w:t>
      </w:r>
    </w:p>
    <w:p w:rsidR="00000000" w:rsidDel="00000000" w:rsidP="00000000" w:rsidRDefault="00000000" w:rsidRPr="00000000" w14:paraId="00000080">
      <w:pPr>
        <w:spacing w:after="0" w:lineRule="auto"/>
        <w:ind w:left="0" w:firstLine="0"/>
        <w:jc w:val="left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7.2</w:t>
      </w:r>
      <w:r w:rsidDel="00000000" w:rsidR="00000000" w:rsidRPr="00000000">
        <w:rPr>
          <w:highlight w:val="white"/>
          <w:rtl w:val="0"/>
        </w:rPr>
        <w:t xml:space="preserve"> Проживание предоставляется в отеле</w:t>
      </w:r>
      <w:r w:rsidDel="00000000" w:rsidR="00000000" w:rsidRPr="00000000">
        <w:rPr>
          <w:rtl w:val="0"/>
        </w:rPr>
        <w:t xml:space="preserve"> в </w:t>
      </w:r>
      <w:r w:rsidDel="00000000" w:rsidR="00000000" w:rsidRPr="00000000">
        <w:rPr>
          <w:highlight w:val="white"/>
          <w:rtl w:val="0"/>
        </w:rPr>
        <w:t xml:space="preserve">период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с 13 мая (день заезда) по 18 мая (день выезда)</w:t>
      </w:r>
      <w:r w:rsidDel="00000000" w:rsidR="00000000" w:rsidRPr="00000000">
        <w:rPr>
          <w:highlight w:val="white"/>
          <w:rtl w:val="0"/>
        </w:rPr>
        <w:t xml:space="preserve"> в следующей конфигурации номеров:</w:t>
        <w:br w:type="textWrapping"/>
        <w:t xml:space="preserve">–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1 одноместный номер (single);</w:t>
        <w:br w:type="textWrapping"/>
      </w:r>
      <w:r w:rsidDel="00000000" w:rsidR="00000000" w:rsidRPr="00000000">
        <w:rPr>
          <w:highlight w:val="white"/>
          <w:rtl w:val="0"/>
        </w:rPr>
        <w:t xml:space="preserve"> –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2 двухместных номера (twin).  </w:t>
      </w:r>
    </w:p>
    <w:p w:rsidR="00000000" w:rsidDel="00000000" w:rsidP="00000000" w:rsidRDefault="00000000" w:rsidRPr="00000000" w14:paraId="00000081">
      <w:pPr>
        <w:spacing w:after="0" w:lineRule="auto"/>
        <w:ind w:left="0" w:firstLine="0"/>
        <w:rPr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7</w:t>
      </w:r>
      <w:r w:rsidDel="00000000" w:rsidR="00000000" w:rsidRPr="00000000">
        <w:rPr>
          <w:b w:val="1"/>
          <w:bCs w:val="1"/>
          <w:rtl w:val="0"/>
        </w:rPr>
        <w:t xml:space="preserve">.3.</w:t>
      </w:r>
      <w:r w:rsidDel="00000000" w:rsidR="00000000" w:rsidRPr="00000000">
        <w:rPr>
          <w:rtl w:val="0"/>
        </w:rPr>
        <w:t xml:space="preserve"> В указанный период участникам команды предоставляется </w:t>
      </w:r>
      <w:r w:rsidDel="00000000" w:rsidR="00000000" w:rsidRPr="00000000">
        <w:rPr>
          <w:b w:val="1"/>
          <w:bCs w:val="1"/>
          <w:rtl w:val="0"/>
        </w:rPr>
        <w:t xml:space="preserve">трехразовое питание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2">
      <w:pPr>
        <w:spacing w:after="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7.4.</w:t>
      </w:r>
      <w:r w:rsidDel="00000000" w:rsidR="00000000" w:rsidRPr="00000000">
        <w:rPr>
          <w:color w:val="c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Расходы на авиаперелёт участников команд осуществляются Организатором. Приобретение авиабилетов производится Организатором в координации с капитаном команды в рамках внутренних процедур и логистических возможностей Организатора. Стоимость авиабилета для одного участника рассчитывается из суммы, не превышающей 500 (пятьсот) долларов США. Организатор оставляет за собой право выбора авиаперевозчика, маршрута и класса обслуживания.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7.5.</w:t>
      </w:r>
      <w:r w:rsidDel="00000000" w:rsidR="00000000" w:rsidRPr="00000000">
        <w:rPr>
          <w:rtl w:val="0"/>
        </w:rPr>
        <w:t xml:space="preserve"> Ранний заезд и поздний выезд предоставляются за дополнительную плату.</w:t>
      </w:r>
    </w:p>
    <w:p w:rsidR="00000000" w:rsidDel="00000000" w:rsidP="00000000" w:rsidRDefault="00000000" w:rsidRPr="00000000" w14:paraId="00000084">
      <w:pPr>
        <w:ind w:left="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7.6.</w:t>
      </w:r>
      <w:r w:rsidDel="00000000" w:rsidR="00000000" w:rsidRPr="00000000">
        <w:rPr>
          <w:highlight w:val="white"/>
          <w:rtl w:val="0"/>
        </w:rPr>
        <w:t xml:space="preserve"> Расходы на проживание, питание, авиаперелет, визы и иные услуги для сопровождающих лиц, не входящих в состав команды, оплачиваются ими самостоятельно.</w:t>
      </w:r>
    </w:p>
    <w:p w:rsidR="00000000" w:rsidDel="00000000" w:rsidP="00000000" w:rsidRDefault="00000000" w:rsidRPr="00000000" w14:paraId="0000008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59" w:lineRule="auto"/>
        <w:ind w:lef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8. Судейская коллегия и апелляционный комитет.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8.1.</w:t>
      </w:r>
      <w:r w:rsidDel="00000000" w:rsidR="00000000" w:rsidRPr="00000000">
        <w:rPr>
          <w:rtl w:val="0"/>
        </w:rPr>
        <w:t xml:space="preserve"> Судейская коллегия состоит из главного арбитра, заместителя главного арбитра, судей на линии и секретаря.</w:t>
      </w:r>
    </w:p>
    <w:p w:rsidR="00000000" w:rsidDel="00000000" w:rsidP="00000000" w:rsidRDefault="00000000" w:rsidRPr="00000000" w14:paraId="00000088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8.2.</w:t>
      </w:r>
      <w:r w:rsidDel="00000000" w:rsidR="00000000" w:rsidRPr="00000000">
        <w:rPr>
          <w:rtl w:val="0"/>
        </w:rPr>
        <w:t xml:space="preserve">  Для решения спорных вопросов на технической встрече участников будет избран (назначен) Апелляционный комитет (АК) в составе: председатель, два основных члена АК + 2 запасных члена АК;</w:t>
      </w:r>
    </w:p>
    <w:p w:rsidR="00000000" w:rsidDel="00000000" w:rsidP="00000000" w:rsidRDefault="00000000" w:rsidRPr="00000000" w14:paraId="00000089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8.3.</w:t>
      </w:r>
      <w:r w:rsidDel="00000000" w:rsidR="00000000" w:rsidRPr="00000000">
        <w:rPr>
          <w:rtl w:val="0"/>
        </w:rPr>
        <w:t xml:space="preserve"> Апелляция подается в письменной форме через главного судью турнира в течение 15 минут </w:t>
      </w:r>
      <w:r w:rsidDel="00000000" w:rsidR="00000000" w:rsidRPr="00000000">
        <w:rPr>
          <w:rtl w:val="0"/>
        </w:rPr>
        <w:t xml:space="preserve">после окончания партии</w:t>
      </w:r>
      <w:r w:rsidDel="00000000" w:rsidR="00000000" w:rsidRPr="00000000">
        <w:rPr>
          <w:rtl w:val="0"/>
        </w:rPr>
        <w:t xml:space="preserve">, при внесении апелляционного взноса в размере – 300 (триста) долларов США.</w:t>
      </w:r>
    </w:p>
    <w:p w:rsidR="00000000" w:rsidDel="00000000" w:rsidP="00000000" w:rsidRDefault="00000000" w:rsidRPr="00000000" w14:paraId="0000008A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8.4.</w:t>
      </w:r>
      <w:r w:rsidDel="00000000" w:rsidR="00000000" w:rsidRPr="00000000">
        <w:rPr>
          <w:rtl w:val="0"/>
        </w:rPr>
        <w:t xml:space="preserve"> Решение АК является окончательным;</w:t>
      </w:r>
    </w:p>
    <w:p w:rsidR="00000000" w:rsidDel="00000000" w:rsidP="00000000" w:rsidRDefault="00000000" w:rsidRPr="00000000" w14:paraId="0000008B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8.5.</w:t>
      </w:r>
      <w:r w:rsidDel="00000000" w:rsidR="00000000" w:rsidRPr="00000000">
        <w:rPr>
          <w:rtl w:val="0"/>
        </w:rPr>
        <w:t xml:space="preserve"> В случае удовлетворения апелляции денежный залог возвращается в полном размере;</w:t>
      </w:r>
    </w:p>
    <w:p w:rsidR="00000000" w:rsidDel="00000000" w:rsidP="00000000" w:rsidRDefault="00000000" w:rsidRPr="00000000" w14:paraId="0000008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Права и обязанности участников, сопровождающих лиц.</w:t>
      </w:r>
    </w:p>
    <w:p w:rsidR="00000000" w:rsidDel="00000000" w:rsidP="00000000" w:rsidRDefault="00000000" w:rsidRPr="00000000" w14:paraId="0000008E">
      <w:pPr>
        <w:ind w:left="0" w:hanging="15"/>
        <w:rPr/>
      </w:pPr>
      <w:r w:rsidDel="00000000" w:rsidR="00000000" w:rsidRPr="00000000">
        <w:rPr>
          <w:b w:val="1"/>
          <w:bCs w:val="1"/>
          <w:rtl w:val="0"/>
        </w:rPr>
        <w:t xml:space="preserve">9.1.</w:t>
      </w:r>
      <w:r w:rsidDel="00000000" w:rsidR="00000000" w:rsidRPr="00000000">
        <w:rPr>
          <w:rtl w:val="0"/>
        </w:rPr>
        <w:t xml:space="preserve"> Участники обязуются играть в соответствии с правилами ФИДЕ и данным Регламентом.</w:t>
      </w:r>
    </w:p>
    <w:p w:rsidR="00000000" w:rsidDel="00000000" w:rsidP="00000000" w:rsidRDefault="00000000" w:rsidRPr="00000000" w14:paraId="0000008F">
      <w:pPr>
        <w:ind w:left="0" w:hanging="15"/>
        <w:rPr/>
      </w:pPr>
      <w:r w:rsidDel="00000000" w:rsidR="00000000" w:rsidRPr="00000000">
        <w:rPr>
          <w:b w:val="1"/>
          <w:bCs w:val="1"/>
          <w:rtl w:val="0"/>
        </w:rPr>
        <w:t xml:space="preserve">9.2</w:t>
      </w:r>
      <w:r w:rsidDel="00000000" w:rsidR="00000000" w:rsidRPr="00000000">
        <w:rPr>
          <w:rtl w:val="0"/>
        </w:rPr>
        <w:t xml:space="preserve">. 3апись партии обязательна для всех участников.</w:t>
      </w:r>
    </w:p>
    <w:p w:rsidR="00000000" w:rsidDel="00000000" w:rsidP="00000000" w:rsidRDefault="00000000" w:rsidRPr="00000000" w14:paraId="00000090">
      <w:pPr>
        <w:ind w:left="0" w:hanging="15"/>
        <w:rPr/>
      </w:pPr>
      <w:r w:rsidDel="00000000" w:rsidR="00000000" w:rsidRPr="00000000">
        <w:rPr>
          <w:b w:val="1"/>
          <w:bCs w:val="1"/>
          <w:rtl w:val="0"/>
        </w:rPr>
        <w:t xml:space="preserve">9.3.</w:t>
      </w:r>
      <w:r w:rsidDel="00000000" w:rsidR="00000000" w:rsidRPr="00000000">
        <w:rPr>
          <w:rtl w:val="0"/>
        </w:rPr>
        <w:t xml:space="preserve"> Участнику, не ведущему запись партии после двух предупреждений со стороны судьи, засчитывается поражение. Если ситуация повторяется в следующей партии, участник снимается с соревнований.</w:t>
      </w:r>
    </w:p>
    <w:p w:rsidR="00000000" w:rsidDel="00000000" w:rsidP="00000000" w:rsidRDefault="00000000" w:rsidRPr="00000000" w14:paraId="00000091">
      <w:pPr>
        <w:ind w:left="0" w:hanging="15"/>
        <w:rPr/>
      </w:pPr>
      <w:r w:rsidDel="00000000" w:rsidR="00000000" w:rsidRPr="00000000">
        <w:rPr>
          <w:b w:val="1"/>
          <w:bCs w:val="1"/>
          <w:rtl w:val="0"/>
        </w:rPr>
        <w:t xml:space="preserve">9.4</w:t>
      </w:r>
      <w:r w:rsidDel="00000000" w:rsidR="00000000" w:rsidRPr="00000000">
        <w:rPr>
          <w:rtl w:val="0"/>
        </w:rPr>
        <w:t xml:space="preserve">.Участники, тренеры и сопровождающие лица обязуются соблюдать действующее законодательство Республики Казахстан, а также нормы поведения и правила приличия в общественных местах на территории проведения Турнира. </w:t>
      </w:r>
    </w:p>
    <w:p w:rsidR="00000000" w:rsidDel="00000000" w:rsidP="00000000" w:rsidRDefault="00000000" w:rsidRPr="00000000" w14:paraId="00000092">
      <w:pPr>
        <w:ind w:left="0" w:hanging="15"/>
        <w:rPr/>
      </w:pPr>
      <w:r w:rsidDel="00000000" w:rsidR="00000000" w:rsidRPr="00000000">
        <w:rPr>
          <w:b w:val="1"/>
          <w:bCs w:val="1"/>
          <w:rtl w:val="0"/>
        </w:rPr>
        <w:t xml:space="preserve">9.5.</w:t>
      </w:r>
      <w:r w:rsidDel="00000000" w:rsidR="00000000" w:rsidRPr="00000000">
        <w:rPr>
          <w:rtl w:val="0"/>
        </w:rPr>
        <w:t xml:space="preserve"> Участники Турнира имеют право:</w:t>
      </w:r>
    </w:p>
    <w:p w:rsidR="00000000" w:rsidDel="00000000" w:rsidP="00000000" w:rsidRDefault="00000000" w:rsidRPr="00000000" w14:paraId="00000093">
      <w:pPr>
        <w:ind w:left="0" w:hanging="15"/>
        <w:rPr/>
      </w:pPr>
      <w:r w:rsidDel="00000000" w:rsidR="00000000" w:rsidRPr="00000000">
        <w:rPr>
          <w:rtl w:val="0"/>
        </w:rPr>
        <w:t xml:space="preserve">– обращения в Апелляционный комитет (см. п. 8.3);</w:t>
      </w:r>
    </w:p>
    <w:p w:rsidR="00000000" w:rsidDel="00000000" w:rsidP="00000000" w:rsidRDefault="00000000" w:rsidRPr="00000000" w14:paraId="00000094">
      <w:pPr>
        <w:ind w:left="0" w:hanging="15"/>
        <w:rPr/>
      </w:pPr>
      <w:r w:rsidDel="00000000" w:rsidR="00000000" w:rsidRPr="00000000">
        <w:rPr>
          <w:rtl w:val="0"/>
        </w:rPr>
        <w:t xml:space="preserve">– на оказание первичной медицинской помощи в турнирном зале.</w:t>
      </w:r>
    </w:p>
    <w:p w:rsidR="00000000" w:rsidDel="00000000" w:rsidP="00000000" w:rsidRDefault="00000000" w:rsidRPr="00000000" w14:paraId="00000095">
      <w:pPr>
        <w:ind w:left="0" w:hanging="15"/>
        <w:rPr/>
      </w:pPr>
      <w:r w:rsidDel="00000000" w:rsidR="00000000" w:rsidRPr="00000000">
        <w:rPr>
          <w:b w:val="1"/>
          <w:bCs w:val="1"/>
          <w:rtl w:val="0"/>
        </w:rPr>
        <w:t xml:space="preserve">9.6.</w:t>
      </w:r>
      <w:r w:rsidDel="00000000" w:rsidR="00000000" w:rsidRPr="00000000">
        <w:rPr>
          <w:rtl w:val="0"/>
        </w:rPr>
        <w:t xml:space="preserve"> В соответствии со статьёй 145 Гражданского кодекса Республики Казахстан (ГК РК)</w:t>
      </w:r>
    </w:p>
    <w:p w:rsidR="00000000" w:rsidDel="00000000" w:rsidP="00000000" w:rsidRDefault="00000000" w:rsidRPr="00000000" w14:paraId="00000096">
      <w:pPr>
        <w:ind w:left="0" w:hanging="15"/>
        <w:rPr/>
      </w:pPr>
      <w:r w:rsidDel="00000000" w:rsidR="00000000" w:rsidRPr="00000000">
        <w:rPr>
          <w:rtl w:val="0"/>
        </w:rPr>
        <w:t xml:space="preserve">и с учетом требований пункта 8 статьи 15 ГК РК, в целях популяризации спортивных мероприятий РОО «Казахстанская федерация шахмат», а также деятельности Организатора, Участник дает Организатору свое согласие: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на осуществление Организатором и/или третьими лицами, действующими от имени и/или в интересах Организатора, видео и фотосъемки изображения Участника (фотография и/или видеоролик) процесса участия Участника в Соревновании;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Организатору на использование имени Участника, на опубликование, воспроизведение и</w:t>
      </w:r>
    </w:p>
    <w:p w:rsidR="00000000" w:rsidDel="00000000" w:rsidP="00000000" w:rsidRDefault="00000000" w:rsidRPr="00000000" w14:paraId="00000099">
      <w:pPr>
        <w:ind w:left="0" w:firstLine="0"/>
        <w:rPr/>
      </w:pPr>
      <w:r w:rsidDel="00000000" w:rsidR="00000000" w:rsidRPr="00000000">
        <w:rPr>
          <w:rtl w:val="0"/>
        </w:rPr>
        <w:t xml:space="preserve">распространение изображения Участника и/или других аудио, видео, фотоматериалов, полученных в результате Соревнования, на которых изображен Участник, любыми способами и любыми средствами без ограничения по сроку и по территории использования, в том числе на право редактирования указанных материалов и передачу их третьим лицам. Настоящее согласие Участник предоставляет на безвозмездной основе на неопределенный срок и не вправе требовать в дальнейшем от Организатора компенсации в каком-либо виде.</w:t>
      </w:r>
    </w:p>
    <w:p w:rsidR="00000000" w:rsidDel="00000000" w:rsidP="00000000" w:rsidRDefault="00000000" w:rsidRPr="00000000" w14:paraId="0000009A">
      <w:pPr>
        <w:spacing w:after="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00" w:line="259" w:lineRule="auto"/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Виза</w:t>
      </w:r>
    </w:p>
    <w:p w:rsidR="00000000" w:rsidDel="00000000" w:rsidP="00000000" w:rsidRDefault="00000000" w:rsidRPr="00000000" w14:paraId="0000009C">
      <w:pPr>
        <w:spacing w:after="19" w:line="259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10.1.</w:t>
      </w:r>
      <w:r w:rsidDel="00000000" w:rsidR="00000000" w:rsidRPr="00000000">
        <w:rPr>
          <w:rtl w:val="0"/>
        </w:rPr>
        <w:t xml:space="preserve"> Для оформления визы требуется номер приглашения. Срок рассмотрения документов уполномоченным органом на предоставление номера приглашения занимает от 2 недель, в связи</w:t>
      </w:r>
    </w:p>
    <w:p w:rsidR="00000000" w:rsidDel="00000000" w:rsidP="00000000" w:rsidRDefault="00000000" w:rsidRPr="00000000" w14:paraId="0000009D">
      <w:pPr>
        <w:spacing w:after="19" w:line="259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с этим спортсменам необходимо направить запрашиваемые документы не позднее </w:t>
      </w:r>
      <w:r w:rsidDel="00000000" w:rsidR="00000000" w:rsidRPr="00000000">
        <w:rPr>
          <w:b w:val="1"/>
          <w:bCs w:val="1"/>
          <w:rtl w:val="0"/>
        </w:rPr>
        <w:t xml:space="preserve"> 01 апреля 2026 года;</w:t>
      </w:r>
    </w:p>
    <w:p w:rsidR="00000000" w:rsidDel="00000000" w:rsidP="00000000" w:rsidRDefault="00000000" w:rsidRPr="00000000" w14:paraId="0000009E">
      <w:pPr>
        <w:spacing w:after="19" w:line="259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10.2.</w:t>
      </w:r>
      <w:r w:rsidDel="00000000" w:rsidR="00000000" w:rsidRPr="00000000">
        <w:rPr>
          <w:rtl w:val="0"/>
        </w:rPr>
        <w:t xml:space="preserve"> После получения уникального номера приглашения, участники самостоятельно оформляют электронную визу на сайте: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https://www.vmp.gov.kz/ru/services/visa-service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19" w:line="259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10.3.</w:t>
      </w:r>
      <w:r w:rsidDel="00000000" w:rsidR="00000000" w:rsidRPr="00000000">
        <w:rPr>
          <w:rtl w:val="0"/>
        </w:rPr>
        <w:t xml:space="preserve"> Электронную визу необходимо распечатать для предъявления при пересечении государственной границы и на территории Республики Казахстан. Электронная виза дает право на въезд / выезд в Республику Казахстан только через международные аэропорты;</w:t>
      </w:r>
    </w:p>
    <w:p w:rsidR="00000000" w:rsidDel="00000000" w:rsidP="00000000" w:rsidRDefault="00000000" w:rsidRPr="00000000" w14:paraId="000000A0">
      <w:pPr>
        <w:spacing w:after="19" w:line="259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f1f1f"/>
          <w:shd w:fill="f8f9fa" w:val="clear"/>
          <w:rtl w:val="0"/>
        </w:rPr>
        <w:t xml:space="preserve">Участники также могут получить визовую наклейку  </w:t>
      </w:r>
      <w:r w:rsidDel="00000000" w:rsidR="00000000" w:rsidRPr="00000000">
        <w:rPr>
          <w:rtl w:val="0"/>
        </w:rPr>
        <w:t xml:space="preserve">в Посольстве РК;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9" w:line="259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10.5.</w:t>
      </w:r>
      <w:r w:rsidDel="00000000" w:rsidR="00000000" w:rsidRPr="00000000">
        <w:rPr>
          <w:rtl w:val="0"/>
        </w:rPr>
        <w:t xml:space="preserve"> Стоимость визы 80 USD. Примечание: участникам, которым будет предоставлен прием, стоимость визы покрывают организаторы.</w:t>
      </w:r>
    </w:p>
    <w:p w:rsidR="00000000" w:rsidDel="00000000" w:rsidP="00000000" w:rsidRDefault="00000000" w:rsidRPr="00000000" w14:paraId="000000A2">
      <w:pPr>
        <w:ind w:left="1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4">
      <w:pPr>
        <w:spacing w:after="200" w:line="259" w:lineRule="auto"/>
        <w:ind w:left="-5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11.Контактная информация</w:t>
      </w:r>
    </w:p>
    <w:p w:rsidR="00000000" w:rsidDel="00000000" w:rsidP="00000000" w:rsidRDefault="00000000" w:rsidRPr="00000000" w14:paraId="000000A5">
      <w:pPr>
        <w:ind w:left="10" w:firstLine="0"/>
        <w:rPr/>
      </w:pPr>
      <w:r w:rsidDel="00000000" w:rsidR="00000000" w:rsidRPr="00000000">
        <w:rPr>
          <w:rtl w:val="0"/>
        </w:rPr>
        <w:t xml:space="preserve">Директор турнира: Гульмира Даулетова </w:t>
      </w:r>
    </w:p>
    <w:p w:rsidR="00000000" w:rsidDel="00000000" w:rsidP="00000000" w:rsidRDefault="00000000" w:rsidRPr="00000000" w14:paraId="000000A6">
      <w:pPr>
        <w:ind w:left="10" w:firstLine="0"/>
        <w:rPr/>
      </w:pPr>
      <w:r w:rsidDel="00000000" w:rsidR="00000000" w:rsidRPr="00000000">
        <w:rPr>
          <w:rtl w:val="0"/>
        </w:rPr>
        <w:t xml:space="preserve">Главный судья: по назначению </w:t>
      </w:r>
    </w:p>
    <w:p w:rsidR="00000000" w:rsidDel="00000000" w:rsidP="00000000" w:rsidRDefault="00000000" w:rsidRPr="00000000" w14:paraId="000000A7">
      <w:pPr>
        <w:ind w:left="10" w:firstLine="0"/>
        <w:rPr/>
      </w:pPr>
      <w:r w:rsidDel="00000000" w:rsidR="00000000" w:rsidRPr="00000000">
        <w:rPr>
          <w:rtl w:val="0"/>
        </w:rPr>
        <w:t xml:space="preserve">Секретарь турнира: по назначению СКК</w:t>
      </w:r>
    </w:p>
    <w:p w:rsidR="00000000" w:rsidDel="00000000" w:rsidP="00000000" w:rsidRDefault="00000000" w:rsidRPr="00000000" w14:paraId="000000A8">
      <w:pPr>
        <w:ind w:left="10" w:firstLine="0"/>
        <w:rPr/>
      </w:pPr>
      <w:r w:rsidDel="00000000" w:rsidR="00000000" w:rsidRPr="00000000">
        <w:rPr>
          <w:rtl w:val="0"/>
        </w:rPr>
        <w:t xml:space="preserve">Менеджер турнира: Раушан Кулахметова, tournaments@kazchess.kz.</w:t>
      </w:r>
    </w:p>
    <w:sectPr>
      <w:headerReference r:id="rId11" w:type="default"/>
      <w:headerReference r:id="rId12" w:type="first"/>
      <w:headerReference r:id="rId13" w:type="even"/>
      <w:pgSz w:h="16838" w:w="11906" w:orient="portrait"/>
      <w:pgMar w:bottom="806" w:top="852" w:left="991" w:right="8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Courier New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-3361052</wp:posOffset>
              </wp:positionH>
              <wp:positionV relativeFrom="page">
                <wp:posOffset>4058920</wp:posOffset>
              </wp:positionV>
              <wp:extent cx="7560310" cy="10692130"/>
              <wp:effectExtent b="0" l="0" r="0" t="0"/>
              <wp:wrapNone/>
              <wp:docPr id="3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5825" y="0"/>
                        <a:ext cx="7560310" cy="10692130"/>
                        <a:chOff x="1565825" y="0"/>
                        <a:chExt cx="7560350" cy="7560000"/>
                      </a:xfrm>
                    </wpg:grpSpPr>
                    <wpg:grpSp>
                      <wpg:cNvGrpSpPr/>
                      <wpg:grpSpPr>
                        <a:xfrm>
                          <a:off x="1565845" y="0"/>
                          <a:ext cx="7560310" cy="7560000"/>
                          <a:chOff x="1565825" y="0"/>
                          <a:chExt cx="7560350" cy="756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5825" y="0"/>
                            <a:ext cx="75603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5845" y="0"/>
                            <a:ext cx="7560310" cy="7560000"/>
                            <a:chOff x="1565700" y="0"/>
                            <a:chExt cx="7560600" cy="756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5700" y="0"/>
                              <a:ext cx="75606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5718" y="0"/>
                              <a:ext cx="7560564" cy="7560000"/>
                              <a:chOff x="1565700" y="0"/>
                              <a:chExt cx="7560600" cy="756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5700" y="0"/>
                                <a:ext cx="75606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5718" y="0"/>
                                <a:ext cx="7560564" cy="7560000"/>
                                <a:chOff x="1565700" y="0"/>
                                <a:chExt cx="7560600" cy="75600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5700" y="0"/>
                                  <a:ext cx="75606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5718" y="0"/>
                                  <a:ext cx="7560564" cy="7560000"/>
                                  <a:chOff x="1565700" y="0"/>
                                  <a:chExt cx="7560600" cy="75600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5700" y="0"/>
                                    <a:ext cx="75606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5718" y="0"/>
                                    <a:ext cx="7560564" cy="7560000"/>
                                    <a:chOff x="1565700" y="0"/>
                                    <a:chExt cx="7560600" cy="75600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565700" y="0"/>
                                      <a:ext cx="75606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5718" y="0"/>
                                      <a:ext cx="7560564" cy="7560000"/>
                                      <a:chOff x="1565700" y="0"/>
                                      <a:chExt cx="7560600" cy="756000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565700" y="0"/>
                                        <a:ext cx="75606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5718" y="0"/>
                                        <a:ext cx="7560564" cy="7560000"/>
                                        <a:chOff x="0" y="0"/>
                                        <a:chExt cx="7560564" cy="10692383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0" y="0"/>
                                          <a:ext cx="7560550" cy="10692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8" name="Shape 18"/>
                                      <wps:spPr>
                                        <a:xfrm>
                                          <a:off x="0" y="0"/>
                                          <a:ext cx="7560564" cy="10692383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0692383" w="756056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560564" y="0"/>
                                              </a:lnTo>
                                              <a:lnTo>
                                                <a:pt x="7560564" y="10692383"/>
                                              </a:lnTo>
                                              <a:lnTo>
                                                <a:pt x="0" y="10692383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DFDFD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-3361052</wp:posOffset>
              </wp:positionH>
              <wp:positionV relativeFrom="page">
                <wp:posOffset>4058920</wp:posOffset>
              </wp:positionV>
              <wp:extent cx="7560310" cy="10692130"/>
              <wp:effectExtent b="0" l="0" r="0" t="0"/>
              <wp:wrapNone/>
              <wp:docPr id="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10692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5825" y="0"/>
                        <a:ext cx="7560310" cy="10692130"/>
                        <a:chOff x="1565825" y="0"/>
                        <a:chExt cx="7560350" cy="7560000"/>
                      </a:xfrm>
                    </wpg:grpSpPr>
                    <wpg:grpSp>
                      <wpg:cNvGrpSpPr/>
                      <wpg:grpSpPr>
                        <a:xfrm>
                          <a:off x="1565845" y="0"/>
                          <a:ext cx="7560310" cy="7560000"/>
                          <a:chOff x="1565825" y="0"/>
                          <a:chExt cx="7560350" cy="756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5825" y="0"/>
                            <a:ext cx="75603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5845" y="0"/>
                            <a:ext cx="7560310" cy="7560000"/>
                            <a:chOff x="1565700" y="0"/>
                            <a:chExt cx="7560600" cy="7560000"/>
                          </a:xfrm>
                        </wpg:grpSpPr>
                        <wps:wsp>
                          <wps:cNvSpPr/>
                          <wps:cNvPr id="21" name="Shape 21"/>
                          <wps:spPr>
                            <a:xfrm>
                              <a:off x="1565700" y="0"/>
                              <a:ext cx="75606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5718" y="0"/>
                              <a:ext cx="7560564" cy="7560000"/>
                              <a:chOff x="1565700" y="0"/>
                              <a:chExt cx="7560600" cy="7560000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1565700" y="0"/>
                                <a:ext cx="75606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5718" y="0"/>
                                <a:ext cx="7560564" cy="7560000"/>
                                <a:chOff x="1565700" y="0"/>
                                <a:chExt cx="7560600" cy="7560000"/>
                              </a:xfrm>
                            </wpg:grpSpPr>
                            <wps:wsp>
                              <wps:cNvSpPr/>
                              <wps:cNvPr id="25" name="Shape 25"/>
                              <wps:spPr>
                                <a:xfrm>
                                  <a:off x="1565700" y="0"/>
                                  <a:ext cx="75606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5718" y="0"/>
                                  <a:ext cx="7560564" cy="7560000"/>
                                  <a:chOff x="1565700" y="0"/>
                                  <a:chExt cx="7560600" cy="7560000"/>
                                </a:xfrm>
                              </wpg:grpSpPr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1565700" y="0"/>
                                    <a:ext cx="75606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5718" y="0"/>
                                    <a:ext cx="7560564" cy="7560000"/>
                                    <a:chOff x="1565700" y="0"/>
                                    <a:chExt cx="7560600" cy="756000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1565700" y="0"/>
                                      <a:ext cx="75606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5718" y="0"/>
                                      <a:ext cx="7560564" cy="7560000"/>
                                      <a:chOff x="1565700" y="0"/>
                                      <a:chExt cx="7560600" cy="7560000"/>
                                    </a:xfrm>
                                  </wpg:grpSpPr>
                                  <wps:wsp>
                                    <wps:cNvSpPr/>
                                    <wps:cNvPr id="31" name="Shape 31"/>
                                    <wps:spPr>
                                      <a:xfrm>
                                        <a:off x="1565700" y="0"/>
                                        <a:ext cx="75606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5718" y="0"/>
                                        <a:ext cx="7560564" cy="7560000"/>
                                        <a:chOff x="0" y="0"/>
                                        <a:chExt cx="7560564" cy="10692383"/>
                                      </a:xfrm>
                                    </wpg:grpSpPr>
                                    <wps:wsp>
                                      <wps:cNvSpPr/>
                                      <wps:cNvPr id="33" name="Shape 33"/>
                                      <wps:spPr>
                                        <a:xfrm>
                                          <a:off x="0" y="0"/>
                                          <a:ext cx="7560550" cy="10692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4" name="Shape 34"/>
                                      <wps:spPr>
                                        <a:xfrm>
                                          <a:off x="0" y="0"/>
                                          <a:ext cx="7560564" cy="10692383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0692383" w="756056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560564" y="0"/>
                                              </a:lnTo>
                                              <a:lnTo>
                                                <a:pt x="7560564" y="10692383"/>
                                              </a:lnTo>
                                              <a:lnTo>
                                                <a:pt x="0" y="10692383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DFDFD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b="0" l="0" r="0" t="0"/>
              <wp:wrapNone/>
              <wp:docPr id="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10692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b="0" l="0" r="0" t="0"/>
              <wp:wrapNone/>
              <wp:docPr id="4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5825" y="0"/>
                        <a:ext cx="7560310" cy="10692130"/>
                        <a:chOff x="1565825" y="0"/>
                        <a:chExt cx="7560350" cy="7560000"/>
                      </a:xfrm>
                    </wpg:grpSpPr>
                    <wpg:grpSp>
                      <wpg:cNvGrpSpPr/>
                      <wpg:grpSpPr>
                        <a:xfrm>
                          <a:off x="1565845" y="0"/>
                          <a:ext cx="7560310" cy="7560000"/>
                          <a:chOff x="1565825" y="0"/>
                          <a:chExt cx="7560350" cy="756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5825" y="0"/>
                            <a:ext cx="75603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5845" y="0"/>
                            <a:ext cx="7560310" cy="7560000"/>
                            <a:chOff x="1565700" y="0"/>
                            <a:chExt cx="7560600" cy="7560000"/>
                          </a:xfrm>
                        </wpg:grpSpPr>
                        <wps:wsp>
                          <wps:cNvSpPr/>
                          <wps:cNvPr id="37" name="Shape 37"/>
                          <wps:spPr>
                            <a:xfrm>
                              <a:off x="1565700" y="0"/>
                              <a:ext cx="75606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5718" y="0"/>
                              <a:ext cx="7560564" cy="7560000"/>
                              <a:chOff x="1565700" y="0"/>
                              <a:chExt cx="7560600" cy="7560000"/>
                            </a:xfrm>
                          </wpg:grpSpPr>
                          <wps:wsp>
                            <wps:cNvSpPr/>
                            <wps:cNvPr id="39" name="Shape 39"/>
                            <wps:spPr>
                              <a:xfrm>
                                <a:off x="1565700" y="0"/>
                                <a:ext cx="75606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5718" y="0"/>
                                <a:ext cx="7560564" cy="7560000"/>
                                <a:chOff x="1565700" y="0"/>
                                <a:chExt cx="7560600" cy="7560000"/>
                              </a:xfrm>
                            </wpg:grpSpPr>
                            <wps:wsp>
                              <wps:cNvSpPr/>
                              <wps:cNvPr id="41" name="Shape 41"/>
                              <wps:spPr>
                                <a:xfrm>
                                  <a:off x="1565700" y="0"/>
                                  <a:ext cx="75606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5718" y="0"/>
                                  <a:ext cx="7560564" cy="7560000"/>
                                  <a:chOff x="1565700" y="0"/>
                                  <a:chExt cx="7560600" cy="7560000"/>
                                </a:xfrm>
                              </wpg:grpSpPr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1565700" y="0"/>
                                    <a:ext cx="75606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5718" y="0"/>
                                    <a:ext cx="7560564" cy="7560000"/>
                                    <a:chOff x="1565700" y="0"/>
                                    <a:chExt cx="7560600" cy="7560000"/>
                                  </a:xfrm>
                                </wpg:grpSpPr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1565700" y="0"/>
                                      <a:ext cx="75606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5718" y="0"/>
                                      <a:ext cx="7560564" cy="7560000"/>
                                      <a:chOff x="1565700" y="0"/>
                                      <a:chExt cx="7560600" cy="7560000"/>
                                    </a:xfrm>
                                  </wpg:grpSpPr>
                                  <wps:wsp>
                                    <wps:cNvSpPr/>
                                    <wps:cNvPr id="47" name="Shape 47"/>
                                    <wps:spPr>
                                      <a:xfrm>
                                        <a:off x="1565700" y="0"/>
                                        <a:ext cx="75606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5718" y="0"/>
                                        <a:ext cx="7560564" cy="7560000"/>
                                        <a:chOff x="0" y="0"/>
                                        <a:chExt cx="7560564" cy="10692383"/>
                                      </a:xfrm>
                                    </wpg:grpSpPr>
                                    <wps:wsp>
                                      <wps:cNvSpPr/>
                                      <wps:cNvPr id="49" name="Shape 49"/>
                                      <wps:spPr>
                                        <a:xfrm>
                                          <a:off x="0" y="0"/>
                                          <a:ext cx="7560550" cy="10692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50" name="Shape 50"/>
                                      <wps:spPr>
                                        <a:xfrm>
                                          <a:off x="0" y="0"/>
                                          <a:ext cx="7560564" cy="10692383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0692383" w="756056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7560564" y="0"/>
                                              </a:lnTo>
                                              <a:lnTo>
                                                <a:pt x="7560564" y="10692383"/>
                                              </a:lnTo>
                                              <a:lnTo>
                                                <a:pt x="0" y="10692383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</a:path>
                                          </a:pathLst>
                                        </a:custGeom>
                                        <a:solidFill>
                                          <a:srgbClr val="FDFDFD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b="0" l="0" r="0" t="0"/>
              <wp:wrapNone/>
              <wp:docPr id="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10692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8" w:line="267" w:lineRule="auto"/>
        <w:ind w:left="1002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qFormat w:val="1"/>
    <w:pPr>
      <w:spacing w:after="100" w:afterAutospacing="1" w:before="100" w:beforeAutospacing="1" w:line="240" w:lineRule="auto"/>
      <w:ind w:left="0" w:firstLine="0"/>
      <w:jc w:val="left"/>
    </w:pPr>
    <w:rPr>
      <w:lang w:val="zh-CN"/>
    </w:rPr>
  </w:style>
  <w:style w:type="table" w:styleId="TableNormal" w:customStyle="1">
    <w:name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" w:customStyle="1">
    <w:name w:val="_Style 10"/>
    <w:basedOn w:val="TableNormal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1" w:customStyle="1">
    <w:name w:val="_Style 11"/>
    <w:basedOn w:val="TableNormal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6" w:customStyle="1">
    <w:name w:val="_Style 16"/>
    <w:basedOn w:val="TableNormal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7" w:customStyle="1">
    <w:name w:val="_Style 17"/>
    <w:basedOn w:val="TableNormal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18" w:customStyle="1">
    <w:name w:val="_Style 18"/>
    <w:basedOn w:val="Table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6">
    <w:name w:val="Placeholder Text"/>
    <w:basedOn w:val="a0"/>
    <w:uiPriority w:val="99"/>
    <w:semiHidden w:val="1"/>
    <w:rsid w:val="009D3A56"/>
    <w:rPr>
      <w:color w:val="80808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vmp.gov.kz/ru/services/visa-service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UMCG3X42EuFp3xja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FbabTp6Jivd6oMWqHTERe81lw==">CgMxLjAaFAoBMBIPCg0IB0IJEgdHdW5nc3VoGhQKATESDwoNCAdCCRIHR3VuZ3N1aBoUCgEyEg8KDQgHQgkSB0d1bmdzdWgaFAoBMxIPCg0IB0IJEgdHdW5nc3VoMg5oLmVxbzdodDdsYm1nZzIOaC44ZHV2amZmbHR1NzcyDmguZXFvN2h0N2xibWdnOAByITF4c3kxdGduV2pETXR4Nkt5R0o4NnlMY3I0RFYyWlBIUg==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2026-02-13T10:51:00Z</dcterms:created>
  <dc:creator>evgvl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33BBAB48C033401EAB8689B3F86CD641_12</vt:lpwstr>
  </property>
</Properties>
</file>